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9E" w:rsidRPr="00133F47" w:rsidRDefault="0044359E" w:rsidP="00681CAF">
      <w:pPr>
        <w:pStyle w:val="Default"/>
        <w:rPr>
          <w:rFonts w:ascii="Open Sans" w:hAnsi="Open Sans" w:cs="Open Sans"/>
          <w:b/>
          <w:bCs/>
          <w:sz w:val="60"/>
          <w:szCs w:val="60"/>
        </w:rPr>
      </w:pPr>
      <w:bookmarkStart w:id="0" w:name="_GoBack"/>
      <w:bookmarkEnd w:id="0"/>
      <w:r w:rsidRPr="00133F47">
        <w:rPr>
          <w:rFonts w:ascii="Open Sans" w:hAnsi="Open Sans" w:cs="Open Sans"/>
          <w:b/>
          <w:bCs/>
          <w:sz w:val="60"/>
          <w:szCs w:val="60"/>
        </w:rPr>
        <w:t xml:space="preserve">Vejledningens </w:t>
      </w:r>
      <w:r w:rsidR="00681CAF" w:rsidRPr="00133F47">
        <w:rPr>
          <w:rFonts w:ascii="Open Sans" w:hAnsi="Open Sans" w:cs="Open Sans"/>
          <w:b/>
          <w:bCs/>
          <w:sz w:val="60"/>
          <w:szCs w:val="60"/>
        </w:rPr>
        <w:t xml:space="preserve">Bilag E. </w:t>
      </w:r>
    </w:p>
    <w:p w:rsidR="00681CAF" w:rsidRPr="00133F47" w:rsidRDefault="00681CAF" w:rsidP="00681CAF">
      <w:pPr>
        <w:pStyle w:val="Default"/>
        <w:rPr>
          <w:rFonts w:ascii="Open Sans" w:hAnsi="Open Sans" w:cs="Open Sans"/>
          <w:b/>
          <w:bCs/>
          <w:sz w:val="60"/>
          <w:szCs w:val="60"/>
        </w:rPr>
      </w:pPr>
      <w:r w:rsidRPr="00133F47">
        <w:rPr>
          <w:rFonts w:ascii="Open Sans" w:hAnsi="Open Sans" w:cs="Open Sans"/>
          <w:b/>
          <w:bCs/>
          <w:sz w:val="60"/>
          <w:szCs w:val="60"/>
        </w:rPr>
        <w:t xml:space="preserve">Kontrolparametre ved afgang fra et vandindvindingsanlæg </w:t>
      </w:r>
    </w:p>
    <w:p w:rsidR="00681CAF" w:rsidRPr="00133F47" w:rsidRDefault="00681CAF" w:rsidP="00681CAF">
      <w:pPr>
        <w:pStyle w:val="Default"/>
        <w:rPr>
          <w:rFonts w:ascii="Open Sans" w:hAnsi="Open Sans" w:cs="Open Sans"/>
          <w:b/>
          <w:bCs/>
          <w:sz w:val="60"/>
          <w:szCs w:val="60"/>
        </w:rPr>
      </w:pPr>
      <w:r w:rsidRPr="00133F47">
        <w:rPr>
          <w:rFonts w:ascii="Open Sans" w:hAnsi="Open Sans" w:cs="Open Sans"/>
          <w:b/>
          <w:bCs/>
          <w:sz w:val="30"/>
          <w:szCs w:val="30"/>
        </w:rPr>
        <w:t>Parametre, som bør kontrolleres regelmæssigt i drikkevandet ved afgang fra et vandindvindingsanlæg.</w:t>
      </w:r>
    </w:p>
    <w:p w:rsidR="00681CAF" w:rsidRDefault="00681CAF" w:rsidP="00681CAF">
      <w:pPr>
        <w:pStyle w:val="Default"/>
        <w:rPr>
          <w:b/>
          <w:bCs/>
          <w:sz w:val="60"/>
          <w:szCs w:val="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6"/>
        <w:gridCol w:w="16117"/>
      </w:tblGrid>
      <w:tr w:rsidR="00681CAF" w:rsidRPr="00681CAF" w:rsidTr="00133F47">
        <w:trPr>
          <w:trHeight w:val="87"/>
          <w:tblHeader/>
        </w:trPr>
        <w:tc>
          <w:tcPr>
            <w:tcW w:w="4262" w:type="dxa"/>
          </w:tcPr>
          <w:p w:rsidR="00681CAF" w:rsidRPr="00681CAF" w:rsidRDefault="00681CAF">
            <w:pPr>
              <w:pStyle w:val="Default"/>
              <w:rPr>
                <w:rFonts w:ascii="Open Sans" w:hAnsi="Open Sans" w:cs="Open Sans"/>
                <w:sz w:val="30"/>
                <w:szCs w:val="30"/>
              </w:rPr>
            </w:pPr>
            <w:r w:rsidRPr="00681CAF">
              <w:rPr>
                <w:rFonts w:ascii="Open Sans" w:hAnsi="Open Sans" w:cs="Open Sans"/>
                <w:b/>
                <w:bCs/>
                <w:sz w:val="30"/>
                <w:szCs w:val="30"/>
              </w:rPr>
              <w:t xml:space="preserve">Kontrolparameter </w:t>
            </w:r>
          </w:p>
        </w:tc>
        <w:tc>
          <w:tcPr>
            <w:tcW w:w="16117" w:type="dxa"/>
          </w:tcPr>
          <w:p w:rsidR="00681CAF" w:rsidRPr="00681CAF" w:rsidRDefault="00681CAF">
            <w:pPr>
              <w:pStyle w:val="Default"/>
              <w:rPr>
                <w:rFonts w:ascii="Open Sans" w:hAnsi="Open Sans" w:cs="Open Sans"/>
                <w:sz w:val="30"/>
                <w:szCs w:val="30"/>
              </w:rPr>
            </w:pPr>
            <w:r w:rsidRPr="00681CAF">
              <w:rPr>
                <w:rFonts w:ascii="Open Sans" w:hAnsi="Open Sans" w:cs="Open Sans"/>
                <w:b/>
                <w:bCs/>
                <w:sz w:val="30"/>
                <w:szCs w:val="30"/>
              </w:rPr>
              <w:t xml:space="preserve">Bemærkninger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Temperatur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pH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Ledningsevne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NVOC </w:t>
            </w:r>
          </w:p>
        </w:tc>
      </w:tr>
      <w:tr w:rsidR="00681CAF" w:rsidRPr="00681CAF" w:rsidTr="00E86097">
        <w:trPr>
          <w:trHeight w:val="218"/>
        </w:trPr>
        <w:tc>
          <w:tcPr>
            <w:tcW w:w="4262" w:type="dxa"/>
          </w:tcPr>
          <w:p w:rsidR="00681CAF" w:rsidRPr="00681CAF" w:rsidRDefault="00681CAF">
            <w:pPr>
              <w:pStyle w:val="Default"/>
              <w:rPr>
                <w:rFonts w:ascii="Open Sans" w:hAnsi="Open Sans" w:cs="Open Sans"/>
                <w:b/>
                <w:sz w:val="30"/>
                <w:szCs w:val="30"/>
              </w:rPr>
            </w:pPr>
            <w:r w:rsidRPr="00681CAF">
              <w:rPr>
                <w:rFonts w:ascii="Open Sans" w:hAnsi="Open Sans" w:cs="Open Sans"/>
                <w:b/>
                <w:sz w:val="30"/>
                <w:szCs w:val="30"/>
              </w:rPr>
              <w:t xml:space="preserve">Natrium </w:t>
            </w:r>
          </w:p>
        </w:tc>
        <w:tc>
          <w:tcPr>
            <w:tcW w:w="16117" w:type="dxa"/>
          </w:tcPr>
          <w:p w:rsidR="00681CAF" w:rsidRPr="00681CAF" w:rsidRDefault="00681CAF">
            <w:pPr>
              <w:pStyle w:val="Default"/>
              <w:rPr>
                <w:rFonts w:ascii="Open Sans" w:hAnsi="Open Sans" w:cs="Open Sans"/>
                <w:b/>
                <w:sz w:val="30"/>
                <w:szCs w:val="30"/>
              </w:rPr>
            </w:pPr>
            <w:r w:rsidRPr="00681CAF">
              <w:rPr>
                <w:rFonts w:ascii="Open Sans" w:hAnsi="Open Sans" w:cs="Open Sans"/>
                <w:b/>
                <w:sz w:val="30"/>
                <w:szCs w:val="30"/>
              </w:rPr>
              <w:t xml:space="preserve">Kontrolleres, hvis vandbehandlingen omfatter blødgøring, som kan resultere i forhøjede værdier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Ammonium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Jern, total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Mangan, total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Nitrat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Nitrit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Ilt </w:t>
            </w:r>
          </w:p>
        </w:tc>
      </w:tr>
      <w:tr w:rsidR="00681CAF" w:rsidRPr="00681CAF" w:rsidTr="00E86097">
        <w:trPr>
          <w:trHeight w:val="87"/>
        </w:trPr>
        <w:tc>
          <w:tcPr>
            <w:tcW w:w="4262" w:type="dxa"/>
          </w:tcPr>
          <w:p w:rsidR="00681CAF" w:rsidRPr="00681CAF" w:rsidRDefault="00681CAF">
            <w:pPr>
              <w:pStyle w:val="Default"/>
              <w:rPr>
                <w:rFonts w:ascii="Open Sans" w:hAnsi="Open Sans" w:cs="Open Sans"/>
                <w:b/>
                <w:sz w:val="30"/>
                <w:szCs w:val="30"/>
              </w:rPr>
            </w:pPr>
            <w:r w:rsidRPr="00681CAF">
              <w:rPr>
                <w:rFonts w:ascii="Open Sans" w:hAnsi="Open Sans" w:cs="Open Sans"/>
                <w:b/>
                <w:sz w:val="30"/>
                <w:szCs w:val="30"/>
              </w:rPr>
              <w:t xml:space="preserve">Aggressiv kuldioxid </w:t>
            </w:r>
          </w:p>
        </w:tc>
        <w:tc>
          <w:tcPr>
            <w:tcW w:w="16117" w:type="dxa"/>
          </w:tcPr>
          <w:p w:rsidR="00681CAF" w:rsidRPr="00681CAF" w:rsidRDefault="00681CAF">
            <w:pPr>
              <w:pStyle w:val="Default"/>
              <w:rPr>
                <w:rFonts w:ascii="Open Sans" w:hAnsi="Open Sans" w:cs="Open Sans"/>
                <w:b/>
                <w:sz w:val="30"/>
                <w:szCs w:val="30"/>
              </w:rPr>
            </w:pPr>
            <w:r w:rsidRPr="00681CAF">
              <w:rPr>
                <w:rFonts w:ascii="Open Sans" w:hAnsi="Open Sans" w:cs="Open Sans"/>
                <w:b/>
                <w:sz w:val="30"/>
                <w:szCs w:val="30"/>
              </w:rPr>
              <w:t xml:space="preserve">Kontrolleres ved fund i indvindingsboring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Svovlbrinte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Methan </w:t>
            </w:r>
          </w:p>
        </w:tc>
      </w:tr>
      <w:tr w:rsidR="00681CAF" w:rsidRPr="00681CAF" w:rsidTr="00E86097">
        <w:trPr>
          <w:trHeight w:val="346"/>
        </w:trPr>
        <w:tc>
          <w:tcPr>
            <w:tcW w:w="4262" w:type="dxa"/>
          </w:tcPr>
          <w:p w:rsidR="00681CAF" w:rsidRPr="00681CAF" w:rsidRDefault="00681CAF">
            <w:pPr>
              <w:pStyle w:val="Default"/>
              <w:rPr>
                <w:rFonts w:ascii="Open Sans" w:hAnsi="Open Sans" w:cs="Open Sans"/>
                <w:b/>
                <w:sz w:val="30"/>
                <w:szCs w:val="30"/>
              </w:rPr>
            </w:pPr>
            <w:r w:rsidRPr="00681CAF">
              <w:rPr>
                <w:rFonts w:ascii="Open Sans" w:hAnsi="Open Sans" w:cs="Open Sans"/>
                <w:b/>
                <w:sz w:val="30"/>
                <w:szCs w:val="30"/>
              </w:rPr>
              <w:t xml:space="preserve">Chlor, frit og total </w:t>
            </w:r>
          </w:p>
        </w:tc>
        <w:tc>
          <w:tcPr>
            <w:tcW w:w="16117" w:type="dxa"/>
          </w:tcPr>
          <w:p w:rsidR="00681CAF" w:rsidRPr="00681CAF" w:rsidRDefault="00681CAF">
            <w:pPr>
              <w:pStyle w:val="Default"/>
              <w:rPr>
                <w:rFonts w:ascii="Open Sans" w:hAnsi="Open Sans" w:cs="Open Sans"/>
                <w:b/>
                <w:sz w:val="30"/>
                <w:szCs w:val="30"/>
              </w:rPr>
            </w:pPr>
            <w:r w:rsidRPr="00681CAF">
              <w:rPr>
                <w:rFonts w:ascii="Open Sans" w:hAnsi="Open Sans" w:cs="Open Sans"/>
                <w:b/>
                <w:sz w:val="30"/>
                <w:szCs w:val="30"/>
              </w:rPr>
              <w:t xml:space="preserve">Eller rest af andet desinfektionsmiddel. Kontrolleres kun, hvis vandet desinficeres. Analyser for frit og totalt chlor foretages på prøveudtagningsstedet.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Coliforme bakterier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Escherichia coli (E.coli)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Kimtal ved 22 ˚C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Enterokokker </w:t>
            </w:r>
          </w:p>
        </w:tc>
      </w:tr>
      <w:tr w:rsidR="00681CAF" w:rsidRPr="00681CAF" w:rsidTr="00E86097">
        <w:trPr>
          <w:trHeight w:val="217"/>
        </w:trPr>
        <w:tc>
          <w:tcPr>
            <w:tcW w:w="4262" w:type="dxa"/>
          </w:tcPr>
          <w:p w:rsidR="00681CAF" w:rsidRPr="00681CAF" w:rsidRDefault="00681CAF">
            <w:pPr>
              <w:pStyle w:val="Default"/>
              <w:rPr>
                <w:rFonts w:ascii="Open Sans" w:hAnsi="Open Sans" w:cs="Open Sans"/>
                <w:b/>
                <w:sz w:val="30"/>
                <w:szCs w:val="30"/>
              </w:rPr>
            </w:pPr>
            <w:r w:rsidRPr="00681CAF">
              <w:rPr>
                <w:rFonts w:ascii="Open Sans" w:hAnsi="Open Sans" w:cs="Open Sans"/>
                <w:b/>
                <w:sz w:val="30"/>
                <w:szCs w:val="30"/>
              </w:rPr>
              <w:t xml:space="preserve">Clostridium perfringens, herunder sporer </w:t>
            </w:r>
          </w:p>
        </w:tc>
        <w:tc>
          <w:tcPr>
            <w:tcW w:w="16117" w:type="dxa"/>
          </w:tcPr>
          <w:p w:rsidR="00681CAF" w:rsidRPr="00681CAF" w:rsidRDefault="00681CAF">
            <w:pPr>
              <w:pStyle w:val="Default"/>
              <w:rPr>
                <w:rFonts w:ascii="Open Sans" w:hAnsi="Open Sans" w:cs="Open Sans"/>
                <w:b/>
                <w:sz w:val="30"/>
                <w:szCs w:val="30"/>
              </w:rPr>
            </w:pPr>
            <w:r w:rsidRPr="00681CAF">
              <w:rPr>
                <w:rFonts w:ascii="Open Sans" w:hAnsi="Open Sans" w:cs="Open Sans"/>
                <w:b/>
                <w:sz w:val="30"/>
                <w:szCs w:val="30"/>
              </w:rPr>
              <w:t xml:space="preserve">Kontrolleres, hvis vandet hidrører fra eller påvirke af overfladevand.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Hårdhed </w:t>
            </w:r>
          </w:p>
        </w:tc>
      </w:tr>
      <w:tr w:rsidR="00681CAF" w:rsidRPr="00681CAF" w:rsidTr="00E86097">
        <w:trPr>
          <w:trHeight w:val="347"/>
        </w:trPr>
        <w:tc>
          <w:tcPr>
            <w:tcW w:w="4262" w:type="dxa"/>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Aluminium </w:t>
            </w:r>
          </w:p>
        </w:tc>
        <w:tc>
          <w:tcPr>
            <w:tcW w:w="16117" w:type="dxa"/>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Aluminium kan indgå i vandbehandlingsprodukter på et forsyningsanlæg og kan afsmitte fra anvendte materialer (beton og cement).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Arsen </w:t>
            </w:r>
          </w:p>
        </w:tc>
      </w:tr>
      <w:tr w:rsidR="00681CAF" w:rsidRPr="00681CAF" w:rsidTr="00E86097">
        <w:trPr>
          <w:trHeight w:val="217"/>
        </w:trPr>
        <w:tc>
          <w:tcPr>
            <w:tcW w:w="4262" w:type="dxa"/>
          </w:tcPr>
          <w:p w:rsidR="00681CAF" w:rsidRPr="00E86097" w:rsidRDefault="00681CAF">
            <w:pPr>
              <w:pStyle w:val="Default"/>
              <w:rPr>
                <w:rFonts w:ascii="Open Sans" w:hAnsi="Open Sans" w:cs="Open Sans"/>
                <w:b/>
                <w:sz w:val="30"/>
                <w:szCs w:val="30"/>
              </w:rPr>
            </w:pPr>
            <w:r w:rsidRPr="00E86097">
              <w:rPr>
                <w:rFonts w:ascii="Open Sans" w:hAnsi="Open Sans" w:cs="Open Sans"/>
                <w:b/>
                <w:sz w:val="30"/>
                <w:szCs w:val="30"/>
              </w:rPr>
              <w:t xml:space="preserve">Bromat </w:t>
            </w:r>
          </w:p>
        </w:tc>
        <w:tc>
          <w:tcPr>
            <w:tcW w:w="16117" w:type="dxa"/>
          </w:tcPr>
          <w:p w:rsidR="00681CAF" w:rsidRPr="00E86097" w:rsidRDefault="00681CAF">
            <w:pPr>
              <w:pStyle w:val="Default"/>
              <w:rPr>
                <w:rFonts w:ascii="Open Sans" w:hAnsi="Open Sans" w:cs="Open Sans"/>
                <w:b/>
                <w:sz w:val="30"/>
                <w:szCs w:val="30"/>
              </w:rPr>
            </w:pPr>
            <w:r w:rsidRPr="00E86097">
              <w:rPr>
                <w:rFonts w:ascii="Open Sans" w:hAnsi="Open Sans" w:cs="Open Sans"/>
                <w:b/>
                <w:sz w:val="30"/>
                <w:szCs w:val="30"/>
              </w:rPr>
              <w:t xml:space="preserve">Kontrolles, hvis vandet desinficeres med chlor, ozon eller lignende stærkt iltende stoffer. </w:t>
            </w:r>
          </w:p>
        </w:tc>
      </w:tr>
      <w:tr w:rsidR="00681CAF" w:rsidRPr="00681CAF" w:rsidTr="00E86097">
        <w:trPr>
          <w:trHeight w:val="87"/>
        </w:trPr>
        <w:tc>
          <w:tcPr>
            <w:tcW w:w="20379" w:type="dxa"/>
            <w:gridSpan w:val="2"/>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lastRenderedPageBreak/>
              <w:t xml:space="preserve">Nikkel </w:t>
            </w:r>
          </w:p>
        </w:tc>
      </w:tr>
      <w:tr w:rsidR="00681CAF" w:rsidRPr="00681CAF" w:rsidTr="00E86097">
        <w:trPr>
          <w:trHeight w:val="87"/>
        </w:trPr>
        <w:tc>
          <w:tcPr>
            <w:tcW w:w="4262" w:type="dxa"/>
          </w:tcPr>
          <w:p w:rsidR="00681CAF" w:rsidRPr="00E86097" w:rsidRDefault="00681CAF">
            <w:pPr>
              <w:pStyle w:val="Default"/>
              <w:rPr>
                <w:rFonts w:ascii="Open Sans" w:hAnsi="Open Sans" w:cs="Open Sans"/>
                <w:b/>
                <w:sz w:val="30"/>
                <w:szCs w:val="30"/>
              </w:rPr>
            </w:pPr>
            <w:r w:rsidRPr="00E86097">
              <w:rPr>
                <w:rFonts w:ascii="Open Sans" w:hAnsi="Open Sans" w:cs="Open Sans"/>
                <w:b/>
                <w:sz w:val="30"/>
                <w:szCs w:val="30"/>
              </w:rPr>
              <w:t xml:space="preserve">Strontium </w:t>
            </w:r>
          </w:p>
        </w:tc>
        <w:tc>
          <w:tcPr>
            <w:tcW w:w="16117" w:type="dxa"/>
          </w:tcPr>
          <w:p w:rsidR="00681CAF" w:rsidRPr="00E86097" w:rsidRDefault="00681CAF">
            <w:pPr>
              <w:pStyle w:val="Default"/>
              <w:rPr>
                <w:rFonts w:ascii="Open Sans" w:hAnsi="Open Sans" w:cs="Open Sans"/>
                <w:b/>
                <w:sz w:val="30"/>
                <w:szCs w:val="30"/>
              </w:rPr>
            </w:pPr>
            <w:r w:rsidRPr="00E86097">
              <w:rPr>
                <w:rFonts w:ascii="Open Sans" w:hAnsi="Open Sans" w:cs="Open Sans"/>
                <w:b/>
                <w:sz w:val="30"/>
                <w:szCs w:val="30"/>
              </w:rPr>
              <w:t xml:space="preserve">Kontrolleres, hvis vandet indvindes fra områder med skrivekridt. </w:t>
            </w:r>
          </w:p>
        </w:tc>
      </w:tr>
      <w:tr w:rsidR="00681CAF" w:rsidRPr="00681CAF" w:rsidTr="00E86097">
        <w:trPr>
          <w:trHeight w:val="87"/>
        </w:trPr>
        <w:tc>
          <w:tcPr>
            <w:tcW w:w="4266" w:type="dxa"/>
          </w:tcPr>
          <w:p w:rsidR="00681CAF" w:rsidRPr="00E86097" w:rsidRDefault="00681CAF">
            <w:pPr>
              <w:pStyle w:val="Default"/>
              <w:rPr>
                <w:rFonts w:ascii="Open Sans" w:hAnsi="Open Sans" w:cs="Open Sans"/>
                <w:b/>
                <w:sz w:val="30"/>
                <w:szCs w:val="30"/>
              </w:rPr>
            </w:pPr>
            <w:r w:rsidRPr="00E86097">
              <w:rPr>
                <w:rFonts w:ascii="Open Sans" w:hAnsi="Open Sans" w:cs="Open Sans"/>
                <w:b/>
                <w:sz w:val="30"/>
                <w:szCs w:val="30"/>
              </w:rPr>
              <w:t xml:space="preserve">Sølv </w:t>
            </w:r>
          </w:p>
        </w:tc>
        <w:tc>
          <w:tcPr>
            <w:tcW w:w="16113" w:type="dxa"/>
          </w:tcPr>
          <w:p w:rsidR="00681CAF" w:rsidRPr="00E86097" w:rsidRDefault="00681CAF">
            <w:pPr>
              <w:pStyle w:val="Default"/>
              <w:rPr>
                <w:rFonts w:ascii="Open Sans" w:hAnsi="Open Sans" w:cs="Open Sans"/>
                <w:b/>
                <w:sz w:val="30"/>
                <w:szCs w:val="30"/>
              </w:rPr>
            </w:pPr>
            <w:r w:rsidRPr="00E86097">
              <w:rPr>
                <w:rFonts w:ascii="Open Sans" w:hAnsi="Open Sans" w:cs="Open Sans"/>
                <w:b/>
                <w:sz w:val="30"/>
                <w:szCs w:val="30"/>
              </w:rPr>
              <w:t xml:space="preserve">Kontrolleres, hvis der anvendes sølv til desinfektion </w:t>
            </w:r>
          </w:p>
        </w:tc>
      </w:tr>
      <w:tr w:rsidR="00681CAF" w:rsidRPr="00681CAF" w:rsidTr="00E86097">
        <w:trPr>
          <w:trHeight w:val="1908"/>
        </w:trPr>
        <w:tc>
          <w:tcPr>
            <w:tcW w:w="4266" w:type="dxa"/>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 xml:space="preserve">Pesticider og nedbrydningsprodukter, jf. bekendtgørelsens bilag 1 c og 2 og boringskontrollen mv. </w:t>
            </w:r>
          </w:p>
        </w:tc>
        <w:tc>
          <w:tcPr>
            <w:tcW w:w="16113" w:type="dxa"/>
          </w:tcPr>
          <w:p w:rsidR="00E86097" w:rsidRDefault="00681CAF">
            <w:pPr>
              <w:pStyle w:val="Default"/>
              <w:rPr>
                <w:rFonts w:ascii="Open Sans" w:hAnsi="Open Sans" w:cs="Open Sans"/>
                <w:sz w:val="30"/>
                <w:szCs w:val="30"/>
              </w:rPr>
            </w:pPr>
            <w:r w:rsidRPr="00681CAF">
              <w:rPr>
                <w:rFonts w:ascii="Open Sans" w:hAnsi="Open Sans" w:cs="Open Sans"/>
                <w:sz w:val="30"/>
                <w:szCs w:val="30"/>
              </w:rPr>
              <w:t xml:space="preserve">Pesticider og nedbrydningsprodukter, der er identificeret som relevante at kontrollere i drikkevandet ud fra resultaterne af boringskontrollen eller udfaldet af andre undersøgelser af grundvandet. </w:t>
            </w:r>
          </w:p>
          <w:p w:rsidR="00E86097" w:rsidRDefault="00E86097">
            <w:pPr>
              <w:pStyle w:val="Default"/>
              <w:rPr>
                <w:rFonts w:ascii="Open Sans" w:hAnsi="Open Sans" w:cs="Open Sans"/>
                <w:sz w:val="30"/>
                <w:szCs w:val="30"/>
              </w:rPr>
            </w:pPr>
          </w:p>
          <w:p w:rsidR="00E86097" w:rsidRDefault="00681CAF">
            <w:pPr>
              <w:pStyle w:val="Default"/>
              <w:rPr>
                <w:rFonts w:ascii="Open Sans" w:hAnsi="Open Sans" w:cs="Open Sans"/>
                <w:sz w:val="30"/>
                <w:szCs w:val="30"/>
              </w:rPr>
            </w:pPr>
            <w:r w:rsidRPr="00681CAF">
              <w:rPr>
                <w:rFonts w:ascii="Open Sans" w:hAnsi="Open Sans" w:cs="Open Sans"/>
                <w:sz w:val="30"/>
                <w:szCs w:val="30"/>
              </w:rPr>
              <w:t xml:space="preserve">Kontrollen af alle pesticider og nedbrydningsprodukter, der er nævnt i bekendtgørelsens bilag 1c og bilag 2, er som udgangspunkt obligatorisk i kontrollen af drikkevandets kvalitet ved taphane, </w:t>
            </w:r>
            <w:r w:rsidRPr="00E86097">
              <w:rPr>
                <w:rFonts w:ascii="Open Sans" w:hAnsi="Open Sans" w:cs="Open Sans"/>
                <w:b/>
                <w:sz w:val="30"/>
                <w:szCs w:val="30"/>
              </w:rPr>
              <w:t xml:space="preserve">men kontrollen </w:t>
            </w:r>
            <w:r w:rsidR="00E86097" w:rsidRPr="00E86097">
              <w:rPr>
                <w:rFonts w:ascii="Open Sans" w:hAnsi="Open Sans" w:cs="Open Sans"/>
                <w:b/>
                <w:sz w:val="30"/>
                <w:szCs w:val="30"/>
              </w:rPr>
              <w:t xml:space="preserve">af </w:t>
            </w:r>
            <w:r w:rsidRPr="00E86097">
              <w:rPr>
                <w:rFonts w:ascii="Open Sans" w:hAnsi="Open Sans" w:cs="Open Sans"/>
                <w:b/>
                <w:sz w:val="30"/>
                <w:szCs w:val="30"/>
              </w:rPr>
              <w:t>alle disse stoffer kan flyttes fra forbrugeres taphane til afgang fra de enkelte vandindvindingsanlæg</w:t>
            </w:r>
            <w:r w:rsidRPr="00681CAF">
              <w:rPr>
                <w:rFonts w:ascii="Open Sans" w:hAnsi="Open Sans" w:cs="Open Sans"/>
                <w:sz w:val="30"/>
                <w:szCs w:val="30"/>
              </w:rPr>
              <w:t xml:space="preserve"> (jf. drikkevandsbekendtgørelsens bilag 6) med mindst den kontrolhyppighed, der fremgår af bekendtgørelsens bilag 4, Gruppe B-parametre. </w:t>
            </w:r>
          </w:p>
          <w:p w:rsidR="00E86097" w:rsidRDefault="00E86097">
            <w:pPr>
              <w:pStyle w:val="Default"/>
              <w:rPr>
                <w:rFonts w:ascii="Open Sans" w:hAnsi="Open Sans" w:cs="Open Sans"/>
                <w:sz w:val="30"/>
                <w:szCs w:val="30"/>
              </w:rPr>
            </w:pPr>
          </w:p>
          <w:p w:rsidR="00681CAF" w:rsidRDefault="00681CAF">
            <w:pPr>
              <w:pStyle w:val="Default"/>
              <w:rPr>
                <w:rFonts w:ascii="Open Sans" w:hAnsi="Open Sans" w:cs="Open Sans"/>
                <w:sz w:val="30"/>
                <w:szCs w:val="30"/>
              </w:rPr>
            </w:pPr>
            <w:r w:rsidRPr="00681CAF">
              <w:rPr>
                <w:rFonts w:ascii="Open Sans" w:hAnsi="Open Sans" w:cs="Open Sans"/>
                <w:sz w:val="30"/>
                <w:szCs w:val="30"/>
              </w:rPr>
              <w:t xml:space="preserve">Begrundelsen for at kunne flytte kontrolstedet er, at der for pesticider og nedbrydningsprodukter ikke vil ske nogen negativ ændring af den målte værdi af de pågældende parametre frem til og med forbrugers taphane. </w:t>
            </w:r>
          </w:p>
          <w:p w:rsidR="00E86097" w:rsidRPr="00681CAF" w:rsidRDefault="00E86097">
            <w:pPr>
              <w:pStyle w:val="Default"/>
              <w:rPr>
                <w:rFonts w:ascii="Open Sans" w:hAnsi="Open Sans" w:cs="Open Sans"/>
                <w:sz w:val="30"/>
                <w:szCs w:val="30"/>
              </w:rPr>
            </w:pPr>
          </w:p>
        </w:tc>
      </w:tr>
      <w:tr w:rsidR="00681CAF" w:rsidRPr="00681CAF" w:rsidTr="00E86097">
        <w:trPr>
          <w:trHeight w:val="2947"/>
        </w:trPr>
        <w:tc>
          <w:tcPr>
            <w:tcW w:w="4266" w:type="dxa"/>
          </w:tcPr>
          <w:p w:rsidR="00681CAF" w:rsidRPr="00681CAF" w:rsidRDefault="00681CAF">
            <w:pPr>
              <w:pStyle w:val="Default"/>
              <w:rPr>
                <w:rFonts w:ascii="Open Sans" w:hAnsi="Open Sans" w:cs="Open Sans"/>
                <w:sz w:val="30"/>
                <w:szCs w:val="30"/>
              </w:rPr>
            </w:pPr>
            <w:r w:rsidRPr="00681CAF">
              <w:rPr>
                <w:rFonts w:ascii="Open Sans" w:hAnsi="Open Sans" w:cs="Open Sans"/>
                <w:sz w:val="30"/>
                <w:szCs w:val="30"/>
              </w:rPr>
              <w:t>Andre uorganiske sporstoffer og organiske mikroforurening</w:t>
            </w:r>
            <w:r w:rsidR="00E86097">
              <w:rPr>
                <w:rFonts w:ascii="Open Sans" w:hAnsi="Open Sans" w:cs="Open Sans"/>
                <w:sz w:val="30"/>
                <w:szCs w:val="30"/>
              </w:rPr>
              <w:t>er</w:t>
            </w:r>
            <w:r w:rsidRPr="00681CAF">
              <w:rPr>
                <w:rFonts w:ascii="Open Sans" w:hAnsi="Open Sans" w:cs="Open Sans"/>
                <w:sz w:val="30"/>
                <w:szCs w:val="30"/>
              </w:rPr>
              <w:t xml:space="preserve">, jf. bekendtgørelsens bilag 1 b-c og boringskontrollen mv. </w:t>
            </w:r>
          </w:p>
        </w:tc>
        <w:tc>
          <w:tcPr>
            <w:tcW w:w="16113" w:type="dxa"/>
          </w:tcPr>
          <w:p w:rsidR="00E86097" w:rsidRDefault="00681CAF">
            <w:pPr>
              <w:pStyle w:val="Default"/>
              <w:rPr>
                <w:rFonts w:ascii="Open Sans" w:hAnsi="Open Sans" w:cs="Open Sans"/>
                <w:sz w:val="30"/>
                <w:szCs w:val="30"/>
              </w:rPr>
            </w:pPr>
            <w:r w:rsidRPr="00681CAF">
              <w:rPr>
                <w:rFonts w:ascii="Open Sans" w:hAnsi="Open Sans" w:cs="Open Sans"/>
                <w:sz w:val="30"/>
                <w:szCs w:val="30"/>
              </w:rPr>
              <w:t xml:space="preserve">Stoffer, der er identificeret som relevante at kontrollere i drikkevandet ud fra resultaterne af boringskontrollen eller udfaldet af andre undersøgelser af grundvandet. </w:t>
            </w:r>
          </w:p>
          <w:p w:rsidR="00E86097" w:rsidRDefault="00E86097">
            <w:pPr>
              <w:pStyle w:val="Default"/>
              <w:rPr>
                <w:rFonts w:ascii="Open Sans" w:hAnsi="Open Sans" w:cs="Open Sans"/>
                <w:sz w:val="30"/>
                <w:szCs w:val="30"/>
              </w:rPr>
            </w:pPr>
          </w:p>
          <w:p w:rsidR="00E86097" w:rsidRDefault="00681CAF">
            <w:pPr>
              <w:pStyle w:val="Default"/>
              <w:rPr>
                <w:rFonts w:ascii="Open Sans" w:hAnsi="Open Sans" w:cs="Open Sans"/>
                <w:sz w:val="30"/>
                <w:szCs w:val="30"/>
              </w:rPr>
            </w:pPr>
            <w:r w:rsidRPr="00681CAF">
              <w:rPr>
                <w:rFonts w:ascii="Open Sans" w:hAnsi="Open Sans" w:cs="Open Sans"/>
                <w:sz w:val="30"/>
                <w:szCs w:val="30"/>
              </w:rPr>
              <w:t xml:space="preserve">Kontrollen af disse relevante stoffer er som udgangspunkt obligatoriske i kontrollen af drikkevandets kvalitet ved taphane (jf. drikkevandsbekendtgørelsens bilag 4), men kontrollen af disse stoffer og kontrollen af obligatoriske stoffer fra bekendtgørelsens bilag 1 b-c kan flyttes fra forbrugeres taphane til afgang fra de enkelte vandindvindingsanlæg (jf. drikkevandsbekendtgørelsens bilag 6) med mindst den kontrolhyppighed, der fremgår af bekendtgørelsens bilag 4, Gruppe B-parametre, hvis forsyningen kan påvise, at der for disse stoffer ikke sker nogen negativ ændring af den målte værdi af de pågældende parametre frem til og med forbrugers taphane. </w:t>
            </w:r>
          </w:p>
          <w:p w:rsidR="00E86097" w:rsidRDefault="00E86097">
            <w:pPr>
              <w:pStyle w:val="Default"/>
              <w:rPr>
                <w:rFonts w:ascii="Open Sans" w:hAnsi="Open Sans" w:cs="Open Sans"/>
                <w:sz w:val="30"/>
                <w:szCs w:val="30"/>
              </w:rPr>
            </w:pPr>
          </w:p>
          <w:p w:rsidR="00681CAF" w:rsidRDefault="00681CAF">
            <w:pPr>
              <w:pStyle w:val="Default"/>
              <w:rPr>
                <w:rFonts w:ascii="Open Sans" w:hAnsi="Open Sans" w:cs="Open Sans"/>
                <w:sz w:val="30"/>
                <w:szCs w:val="30"/>
              </w:rPr>
            </w:pPr>
            <w:r w:rsidRPr="00681CAF">
              <w:rPr>
                <w:rFonts w:ascii="Open Sans" w:hAnsi="Open Sans" w:cs="Open Sans"/>
                <w:sz w:val="30"/>
                <w:szCs w:val="30"/>
              </w:rPr>
              <w:t xml:space="preserve">Kontrollen af obligatoriske stoffer, der hovedsageligt relaterer sig til forurenede arealer eller geologiske forhold i indvindingsområdet, kan på den baggrund typisk flyttes fra taphane til afgang fra vandindvindingsanlægget, f.eks. antimon, bor, cobolt, cyanid, kviksølv, selen, pentachlorphenol, organiske chlorforbindelser, benzen og PFAS. Kontrollen af obligatoriske stoffer som følge af forsyningens vandbehandling kan desuden typisk flyttes fra taphane til afgang fra vandindvindingsanlægget, f.eks. sølv, chlorit, chlorat og bromat. </w:t>
            </w:r>
          </w:p>
          <w:p w:rsidR="00E86097" w:rsidRPr="00681CAF" w:rsidRDefault="00E86097">
            <w:pPr>
              <w:pStyle w:val="Default"/>
              <w:rPr>
                <w:rFonts w:ascii="Open Sans" w:hAnsi="Open Sans" w:cs="Open Sans"/>
                <w:sz w:val="30"/>
                <w:szCs w:val="30"/>
              </w:rPr>
            </w:pPr>
          </w:p>
        </w:tc>
      </w:tr>
    </w:tbl>
    <w:p w:rsidR="00681CAF" w:rsidRPr="00605D0D" w:rsidRDefault="00681CAF" w:rsidP="00605D0D"/>
    <w:sectPr w:rsidR="00681CAF" w:rsidRPr="00605D0D" w:rsidSect="00681CAF">
      <w:footerReference w:type="default" r:id="rId8"/>
      <w:pgSz w:w="23811" w:h="16838"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AF" w:rsidRDefault="00681CAF" w:rsidP="0073414C">
      <w:r>
        <w:separator/>
      </w:r>
    </w:p>
  </w:endnote>
  <w:endnote w:type="continuationSeparator" w:id="0">
    <w:p w:rsidR="00681CAF" w:rsidRDefault="00681CAF" w:rsidP="007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47" w:rsidRPr="00133F47" w:rsidRDefault="00133F47" w:rsidP="00133F47">
    <w:pPr>
      <w:pStyle w:val="Sidefod"/>
      <w:jc w:val="right"/>
      <w:rPr>
        <w:sz w:val="24"/>
        <w:szCs w:val="24"/>
      </w:rPr>
    </w:pPr>
    <w:r w:rsidRPr="00133F47">
      <w:rPr>
        <w:sz w:val="24"/>
        <w:szCs w:val="24"/>
      </w:rPr>
      <w:t xml:space="preserve">Side </w:t>
    </w:r>
    <w:r w:rsidRPr="00133F47">
      <w:rPr>
        <w:bCs/>
        <w:sz w:val="24"/>
        <w:szCs w:val="24"/>
      </w:rPr>
      <w:fldChar w:fldCharType="begin"/>
    </w:r>
    <w:r w:rsidRPr="00133F47">
      <w:rPr>
        <w:bCs/>
        <w:sz w:val="24"/>
        <w:szCs w:val="24"/>
      </w:rPr>
      <w:instrText>PAGE  \* Arabic  \* MERGEFORMAT</w:instrText>
    </w:r>
    <w:r w:rsidRPr="00133F47">
      <w:rPr>
        <w:bCs/>
        <w:sz w:val="24"/>
        <w:szCs w:val="24"/>
      </w:rPr>
      <w:fldChar w:fldCharType="separate"/>
    </w:r>
    <w:r w:rsidR="00F040F8">
      <w:rPr>
        <w:bCs/>
        <w:noProof/>
        <w:sz w:val="24"/>
        <w:szCs w:val="24"/>
      </w:rPr>
      <w:t>2</w:t>
    </w:r>
    <w:r w:rsidRPr="00133F47">
      <w:rPr>
        <w:bCs/>
        <w:sz w:val="24"/>
        <w:szCs w:val="24"/>
      </w:rPr>
      <w:fldChar w:fldCharType="end"/>
    </w:r>
    <w:r w:rsidRPr="00133F47">
      <w:rPr>
        <w:sz w:val="24"/>
        <w:szCs w:val="24"/>
      </w:rPr>
      <w:t xml:space="preserve"> af </w:t>
    </w:r>
    <w:r w:rsidRPr="00133F47">
      <w:rPr>
        <w:bCs/>
        <w:sz w:val="24"/>
        <w:szCs w:val="24"/>
      </w:rPr>
      <w:fldChar w:fldCharType="begin"/>
    </w:r>
    <w:r w:rsidRPr="00133F47">
      <w:rPr>
        <w:bCs/>
        <w:sz w:val="24"/>
        <w:szCs w:val="24"/>
      </w:rPr>
      <w:instrText>NUMPAGES  \* Arabic  \* MERGEFORMAT</w:instrText>
    </w:r>
    <w:r w:rsidRPr="00133F47">
      <w:rPr>
        <w:bCs/>
        <w:sz w:val="24"/>
        <w:szCs w:val="24"/>
      </w:rPr>
      <w:fldChar w:fldCharType="separate"/>
    </w:r>
    <w:r w:rsidR="00F040F8">
      <w:rPr>
        <w:bCs/>
        <w:noProof/>
        <w:sz w:val="24"/>
        <w:szCs w:val="24"/>
      </w:rPr>
      <w:t>2</w:t>
    </w:r>
    <w:r w:rsidRPr="00133F47">
      <w:rPr>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AF" w:rsidRDefault="00681CAF" w:rsidP="0073414C">
      <w:r>
        <w:separator/>
      </w:r>
    </w:p>
  </w:footnote>
  <w:footnote w:type="continuationSeparator" w:id="0">
    <w:p w:rsidR="00681CAF" w:rsidRDefault="00681CAF" w:rsidP="00734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272"/>
    <w:multiLevelType w:val="hybridMultilevel"/>
    <w:tmpl w:val="E71EF08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AF"/>
    <w:rsid w:val="00114916"/>
    <w:rsid w:val="00133F47"/>
    <w:rsid w:val="00165D33"/>
    <w:rsid w:val="001D296B"/>
    <w:rsid w:val="0044359E"/>
    <w:rsid w:val="00605D0D"/>
    <w:rsid w:val="006576EB"/>
    <w:rsid w:val="00681CAF"/>
    <w:rsid w:val="0073414C"/>
    <w:rsid w:val="00884213"/>
    <w:rsid w:val="008D26DB"/>
    <w:rsid w:val="00B81A1B"/>
    <w:rsid w:val="00B95E67"/>
    <w:rsid w:val="00C66BDB"/>
    <w:rsid w:val="00C75EC1"/>
    <w:rsid w:val="00CB0236"/>
    <w:rsid w:val="00E86097"/>
    <w:rsid w:val="00F040F8"/>
    <w:rsid w:val="00FB0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9684"/>
  <w15:chartTrackingRefBased/>
  <w15:docId w15:val="{E059FB4E-7588-40E1-A014-DB3C3798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paragraph" w:customStyle="1" w:styleId="Default">
    <w:name w:val="Default"/>
    <w:rsid w:val="00681CAF"/>
    <w:pPr>
      <w:autoSpaceDE w:val="0"/>
      <w:autoSpaceDN w:val="0"/>
      <w:adjustRightInd w:val="0"/>
    </w:pPr>
    <w:rPr>
      <w:rFonts w:ascii="Georgia" w:hAnsi="Georgia" w:cs="Georgia"/>
      <w:color w:val="000000"/>
      <w:sz w:val="24"/>
      <w:szCs w:val="24"/>
    </w:rPr>
  </w:style>
  <w:style w:type="paragraph" w:styleId="Sidehoved">
    <w:name w:val="header"/>
    <w:basedOn w:val="Normal"/>
    <w:link w:val="SidehovedTegn"/>
    <w:uiPriority w:val="99"/>
    <w:unhideWhenUsed/>
    <w:rsid w:val="00133F47"/>
    <w:pPr>
      <w:tabs>
        <w:tab w:val="center" w:pos="4819"/>
        <w:tab w:val="right" w:pos="9638"/>
      </w:tabs>
    </w:pPr>
  </w:style>
  <w:style w:type="character" w:customStyle="1" w:styleId="SidehovedTegn">
    <w:name w:val="Sidehoved Tegn"/>
    <w:basedOn w:val="Standardskrifttypeiafsnit"/>
    <w:link w:val="Sidehoved"/>
    <w:uiPriority w:val="99"/>
    <w:rsid w:val="00133F47"/>
  </w:style>
  <w:style w:type="paragraph" w:styleId="Sidefod">
    <w:name w:val="footer"/>
    <w:basedOn w:val="Normal"/>
    <w:link w:val="SidefodTegn"/>
    <w:uiPriority w:val="99"/>
    <w:unhideWhenUsed/>
    <w:rsid w:val="00133F47"/>
    <w:pPr>
      <w:tabs>
        <w:tab w:val="center" w:pos="4819"/>
        <w:tab w:val="right" w:pos="9638"/>
      </w:tabs>
    </w:pPr>
  </w:style>
  <w:style w:type="character" w:customStyle="1" w:styleId="SidefodTegn">
    <w:name w:val="Sidefod Tegn"/>
    <w:basedOn w:val="Standardskrifttypeiafsnit"/>
    <w:link w:val="Sidefod"/>
    <w:uiPriority w:val="99"/>
    <w:rsid w:val="00133F47"/>
  </w:style>
  <w:style w:type="paragraph" w:styleId="Markeringsbobletekst">
    <w:name w:val="Balloon Text"/>
    <w:basedOn w:val="Normal"/>
    <w:link w:val="MarkeringsbobletekstTegn"/>
    <w:uiPriority w:val="99"/>
    <w:semiHidden/>
    <w:unhideWhenUsed/>
    <w:rsid w:val="00F040F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04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5424-D688-4966-946D-3679F992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Thisted Kommune</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Kristine Keiding - Thisted Kommune</dc:creator>
  <cp:keywords/>
  <dc:description/>
  <cp:lastModifiedBy>Anne Kristine Keiding - Thisted Kommune</cp:lastModifiedBy>
  <cp:revision>2</cp:revision>
  <cp:lastPrinted>2018-01-31T07:39:00Z</cp:lastPrinted>
  <dcterms:created xsi:type="dcterms:W3CDTF">2018-01-31T07:43:00Z</dcterms:created>
  <dcterms:modified xsi:type="dcterms:W3CDTF">2018-01-31T07:43:00Z</dcterms:modified>
</cp:coreProperties>
</file>